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left"/>
      </w:pPr>
      <w:r>
        <w:t>ENGINEERING PROPOSAL TEMPLATE</w:t>
      </w:r>
    </w:p>
    <w:p>
      <w:pPr>
        <w:pStyle w:val="Heading1"/>
        <w:jc w:val="left"/>
      </w:pPr>
      <w:r>
        <w:t>Solar Street Light Project</w:t>
      </w:r>
    </w:p>
    <w:p>
      <w:pPr>
        <w:pStyle w:val="Callout"/>
        <w:spacing w:before="120"/>
      </w:pPr>
      <w:r>
        <w:t>Tender-ready editable MS Word template for EPC contractors and procurement teams.</w:t>
      </w:r>
    </w:p>
    <w:p>
      <w:pPr>
        <w:pStyle w:val="Heading3"/>
      </w:pPr>
      <w:r>
        <w:t>Project: [PROJECT_NAME]</w:t>
      </w:r>
    </w:p>
    <w:p>
      <w:pPr>
        <w:pStyle w:val="Heading3"/>
      </w:pPr>
      <w:r>
        <w:t>Client: [CLIENT_NAME]</w:t>
      </w:r>
    </w:p>
    <w:p>
      <w:pPr>
        <w:pStyle w:val="Heading3"/>
      </w:pPr>
      <w:r>
        <w:t>Location: [COUNTRY_CITY]</w:t>
      </w:r>
    </w:p>
    <w:p>
      <w:pPr>
        <w:pStyle w:val="Heading3"/>
      </w:pPr>
      <w:r>
        <w:t>Date: [DATE]</w:t>
      </w:r>
    </w:p>
    <w:p>
      <w:pPr>
        <w:pStyle w:val="Callout"/>
      </w:pPr>
      <w:r>
        <w:t>Prepared by: SUNLURIO (sunlurio.com) | info@sunlurio.com</w:t>
      </w:r>
    </w:p>
    <w:p>
      <w:pPr>
        <w:pStyle w:val="Small"/>
      </w:pPr>
      <w:r>
        <w:t>How to use: Replace all placeholders in [BRACKETS]. Update the Table of Contents by right-clicking it and selecting 'Update Field'. Attach the simulation report and IES files as appendices.</w:t>
      </w:r>
    </w:p>
    <w:p>
      <w:r>
        <w:br w:type="page"/>
      </w:r>
    </w:p>
    <w:p>
      <w:pPr>
        <w:pStyle w:val="Heading1"/>
      </w:pPr>
      <w:r>
        <w:t>Table of Contents</w:t>
      </w:r>
    </w:p>
    <w:p>
      <w:pPr/>
      <w:r>
        <w:fldChar w:fldCharType="begin"/>
        <w:instrText xml:space="preserve">TOC \o "1-3" \h \z \u</w:instrText>
        <w:fldChar w:fldCharType="separate"/>
        <w:t/>
        <w:fldChar w:fldCharType="end"/>
      </w:r>
    </w:p>
    <w:p>
      <w:pPr>
        <w:pStyle w:val="Small"/>
      </w:pPr>
      <w:r>
        <w:t>Tip: In Word, click inside the table above and press F9 (or right-click &gt; Update Field) after you finish editing.</w:t>
      </w:r>
    </w:p>
    <w:p>
      <w:r>
        <w:br w:type="page"/>
      </w:r>
    </w:p>
    <w:p>
      <w:pPr>
        <w:pStyle w:val="Heading1"/>
      </w:pPr>
      <w:r>
        <w:t>1. Executive Summary</w:t>
      </w:r>
    </w:p>
    <w:p>
      <w:pPr/>
      <w:r>
        <w:t>This proposal presents a solar street lighting solution for [PROJECT_NAME] in [COUNTRY_CITY]. The system is designed to meet [TARGET_STANDARD] Class [CLASS] (or client specification), verified by a lighting simulation report based on the site inputs provided.</w:t>
      </w:r>
    </w:p>
    <w:p>
      <w:pPr>
        <w:pStyle w:val="ListBullet"/>
        <w:spacing w:after="40"/>
      </w:pPr>
      <w:r>
        <w:t>Project coverage: [ROAD_LENGTH] / [AREAS] | Estimated quantity: [QTY] sets</w:t>
      </w:r>
    </w:p>
    <w:p>
      <w:pPr>
        <w:pStyle w:val="ListBullet"/>
        <w:spacing w:after="40"/>
      </w:pPr>
      <w:r>
        <w:t>Key risk controls: uniformity between poles, rainy-season autonomy, acceptance checklist and handover documents</w:t>
      </w:r>
    </w:p>
    <w:p>
      <w:pPr>
        <w:pStyle w:val="ListBullet"/>
        <w:spacing w:after="40"/>
      </w:pPr>
      <w:r>
        <w:t>Deliverables: BOQ, technical specifications, installation method statement, QA/QC plan, and acceptance checklist</w:t>
      </w:r>
    </w:p>
    <w:p>
      <w:pPr>
        <w:pStyle w:val="Heading3"/>
      </w:pPr>
      <w:r>
        <w:t>Decision-ready summary (fill in):</w:t>
      </w:r>
    </w:p>
    <w:tbl>
      <w:tblPr>
        <w:tblStyle w:val="TableGrid"/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819"/>
            <w:shd w:val="clear" w:color="auto" w:fill="0B2E59"/>
            <w:vAlign w:val="center"/>
          </w:tcPr>
          <w:p>
            <w:pPr>
              <w:spacing w:before="0" w:after="0"/>
              <w:jc w:val="center"/>
            </w:pPr>
            <w:r/>
            <w:r>
              <w:rPr>
                <w:rFonts w:ascii="Calibri" w:hAnsi="Calibri"/>
                <w:b/>
                <w:color w:val="FFFFFF"/>
                <w:sz w:val="20"/>
              </w:rPr>
              <w:t>Item</w:t>
            </w:r>
          </w:p>
        </w:tc>
        <w:tc>
          <w:tcPr>
            <w:tcW w:type="dxa" w:w="4819"/>
            <w:shd w:val="clear" w:color="auto" w:fill="0B2E59"/>
            <w:vAlign w:val="center"/>
          </w:tcPr>
          <w:p>
            <w:pPr>
              <w:spacing w:before="0" w:after="0"/>
              <w:jc w:val="center"/>
            </w:pPr>
            <w:r/>
            <w:r>
              <w:rPr>
                <w:rFonts w:ascii="Calibri" w:hAnsi="Calibri"/>
                <w:b/>
                <w:color w:val="FFFFFF"/>
                <w:sz w:val="20"/>
              </w:rPr>
              <w:t>Value</w:t>
            </w:r>
          </w:p>
        </w:tc>
      </w:tr>
      <w:tr>
        <w:tc>
          <w:tcPr>
            <w:tcW w:type="dxa" w:w="481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Road width / pole height / spacing</w:t>
            </w:r>
          </w:p>
        </w:tc>
        <w:tc>
          <w:tcPr>
            <w:tcW w:type="dxa" w:w="481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[ROAD_WIDTH_M] m / [POLE_HEIGHT_M] m / [POLE_SPACING_M] m</w:t>
            </w:r>
          </w:p>
        </w:tc>
      </w:tr>
      <w:tr>
        <w:tc>
          <w:tcPr>
            <w:tcW w:type="dxa" w:w="481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Target performance</w:t>
            </w:r>
          </w:p>
        </w:tc>
        <w:tc>
          <w:tcPr>
            <w:tcW w:type="dxa" w:w="481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Eavg [EAVG_LUX] lux | U0 [U0] | Emin [EMIN_LUX] lux (if required)</w:t>
            </w:r>
          </w:p>
        </w:tc>
      </w:tr>
      <w:tr>
        <w:tc>
          <w:tcPr>
            <w:tcW w:type="dxa" w:w="481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Autonomy &amp; operation</w:t>
            </w:r>
          </w:p>
        </w:tc>
        <w:tc>
          <w:tcPr>
            <w:tcW w:type="dxa" w:w="481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[AUTONOMY_NIGHTS] nights | Dimming profile: [DIMMING_PROFILE]</w:t>
            </w:r>
          </w:p>
        </w:tc>
      </w:tr>
      <w:tr>
        <w:tc>
          <w:tcPr>
            <w:tcW w:type="dxa" w:w="481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Environment</w:t>
            </w:r>
          </w:p>
        </w:tc>
        <w:tc>
          <w:tcPr>
            <w:tcW w:type="dxa" w:w="481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[ENVIRONMENT] (e.g., coastal/dusty/humid) | Max temp [TMAX] C</w:t>
            </w:r>
          </w:p>
        </w:tc>
      </w:tr>
      <w:tr>
        <w:tc>
          <w:tcPr>
            <w:tcW w:type="dxa" w:w="481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Delivery terms</w:t>
            </w:r>
          </w:p>
        </w:tc>
        <w:tc>
          <w:tcPr>
            <w:tcW w:type="dxa" w:w="481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[DELIVERY_TERM] | Port: [PORT] | Lead time: [LEAD_TIME_WEEKS] weeks</w:t>
            </w:r>
          </w:p>
        </w:tc>
      </w:tr>
    </w:tbl>
    <w:p/>
    <w:p>
      <w:pPr>
        <w:pStyle w:val="Heading1"/>
      </w:pPr>
      <w:r>
        <w:t>2. Project Scope and Assumptions</w:t>
      </w:r>
    </w:p>
    <w:p>
      <w:pPr>
        <w:pStyle w:val="Heading2"/>
      </w:pPr>
      <w:r>
        <w:t>2.1 Scope of Supply</w:t>
      </w:r>
    </w:p>
    <w:p>
      <w:pPr>
        <w:pStyle w:val="ListBullet"/>
        <w:spacing w:after="40"/>
      </w:pPr>
      <w:r>
        <w:t>Solar street light system (LED luminaire + solar panel + LiFePO4 battery + MPPT controller)</w:t>
      </w:r>
    </w:p>
    <w:p>
      <w:pPr>
        <w:pStyle w:val="ListBullet"/>
        <w:spacing w:after="40"/>
      </w:pPr>
      <w:r>
        <w:t>Mounting structure (pole/arm) and anchor bolt kit (if included in this offer)</w:t>
      </w:r>
    </w:p>
    <w:p>
      <w:pPr>
        <w:pStyle w:val="ListBullet"/>
        <w:spacing w:after="40"/>
      </w:pPr>
      <w:r>
        <w:t>Cables, connectors, fasteners, anti-theft accessories (as specified)</w:t>
      </w:r>
    </w:p>
    <w:p>
      <w:pPr>
        <w:pStyle w:val="ListBullet"/>
        <w:spacing w:after="40"/>
      </w:pPr>
      <w:r>
        <w:t>Documentation pack (datasheets, wiring diagram, installation guide, warranty)</w:t>
      </w:r>
    </w:p>
    <w:p>
      <w:pPr>
        <w:pStyle w:val="Heading2"/>
      </w:pPr>
      <w:r>
        <w:t>2.2 Exclusions (tick as applicable)</w:t>
      </w:r>
    </w:p>
    <w:p>
      <w:pPr>
        <w:pStyle w:val="ListBullet"/>
        <w:spacing w:after="40"/>
      </w:pPr>
      <w:r>
        <w:t>☐ Civil works beyond agreed foundation scope</w:t>
      </w:r>
    </w:p>
    <w:p>
      <w:pPr>
        <w:pStyle w:val="ListBullet"/>
        <w:spacing w:after="40"/>
      </w:pPr>
      <w:r>
        <w:t>☐ Special permits, local taxes, and statutory fees</w:t>
      </w:r>
    </w:p>
    <w:p>
      <w:pPr>
        <w:pStyle w:val="ListBullet"/>
        <w:spacing w:after="40"/>
      </w:pPr>
      <w:r>
        <w:t>☐ Grid connection (for hybrid systems) unless specified</w:t>
      </w:r>
    </w:p>
    <w:p>
      <w:pPr>
        <w:pStyle w:val="Heading2"/>
      </w:pPr>
      <w:r>
        <w:t>2.3 Assumptions</w:t>
      </w:r>
    </w:p>
    <w:p>
      <w:pPr>
        <w:pStyle w:val="ListBullet"/>
        <w:spacing w:after="40"/>
      </w:pPr>
      <w:r>
        <w:t>Site inputs listed in Section 3 are accurate and approved by the client/EPC.</w:t>
      </w:r>
    </w:p>
    <w:p>
      <w:pPr>
        <w:pStyle w:val="ListBullet"/>
        <w:spacing w:after="40"/>
      </w:pPr>
      <w:r>
        <w:t>Lighting targets follow [TARGET_STANDARD] or client specification. If targets are not provided, supplier will recommend targets based on road type and usage.</w:t>
      </w:r>
    </w:p>
    <w:p>
      <w:pPr>
        <w:pStyle w:val="ListBullet"/>
        <w:spacing w:after="40"/>
      </w:pPr>
      <w:r>
        <w:t>Battery autonomy is sized for [AUTONOMY_NIGHTS] nights under the dimming profile stated.</w:t>
      </w:r>
    </w:p>
    <w:p>
      <w:pPr>
        <w:pStyle w:val="Heading1"/>
      </w:pPr>
      <w:r>
        <w:t>3. Site Inputs (Required for Simulation)</w:t>
      </w:r>
    </w:p>
    <w:p>
      <w:pPr/>
      <w:r>
        <w:t>Provide these inputs to ensure the simulation and BOQ are defensible for tender submission.</w:t>
      </w:r>
    </w:p>
    <w:tbl>
      <w:tblPr>
        <w:tblStyle w:val="TableGrid"/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3213"/>
        <w:gridCol w:w="3213"/>
        <w:gridCol w:w="3213"/>
      </w:tblGrid>
      <w:tr>
        <w:tc>
          <w:tcPr>
            <w:tcW w:type="dxa" w:w="3213"/>
            <w:shd w:val="clear" w:color="auto" w:fill="0B2E59"/>
            <w:vAlign w:val="center"/>
          </w:tcPr>
          <w:p>
            <w:pPr>
              <w:spacing w:before="0" w:after="0"/>
              <w:jc w:val="center"/>
            </w:pPr>
            <w:r/>
            <w:r>
              <w:rPr>
                <w:rFonts w:ascii="Calibri" w:hAnsi="Calibri"/>
                <w:b/>
                <w:color w:val="FFFFFF"/>
                <w:sz w:val="20"/>
              </w:rPr>
              <w:t>Category</w:t>
            </w:r>
          </w:p>
        </w:tc>
        <w:tc>
          <w:tcPr>
            <w:tcW w:type="dxa" w:w="3213"/>
            <w:shd w:val="clear" w:color="auto" w:fill="0B2E59"/>
            <w:vAlign w:val="center"/>
          </w:tcPr>
          <w:p>
            <w:pPr>
              <w:spacing w:before="0" w:after="0"/>
              <w:jc w:val="center"/>
            </w:pPr>
            <w:r/>
            <w:r>
              <w:rPr>
                <w:rFonts w:ascii="Calibri" w:hAnsi="Calibri"/>
                <w:b/>
                <w:color w:val="FFFFFF"/>
                <w:sz w:val="20"/>
              </w:rPr>
              <w:t>Parameter</w:t>
            </w:r>
          </w:p>
        </w:tc>
        <w:tc>
          <w:tcPr>
            <w:tcW w:type="dxa" w:w="3213"/>
            <w:shd w:val="clear" w:color="auto" w:fill="0B2E59"/>
            <w:vAlign w:val="center"/>
          </w:tcPr>
          <w:p>
            <w:pPr>
              <w:spacing w:before="0" w:after="0"/>
              <w:jc w:val="center"/>
            </w:pPr>
            <w:r/>
            <w:r>
              <w:rPr>
                <w:rFonts w:ascii="Calibri" w:hAnsi="Calibri"/>
                <w:b/>
                <w:color w:val="FFFFFF"/>
                <w:sz w:val="20"/>
              </w:rPr>
              <w:t>Value (fill in)</w:t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Geometry (Required)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Road width (m)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[ROAD_WIDTH_M]</w:t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Geometry (Required)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Pole height (m)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[POLE_HEIGHT_M]</w:t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Geometry (Required)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Pole spacing (m)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[POLE_SPACING_M]</w:t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Layout (Recommended)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Arrangement (one-side/both-side/staggered/median)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[ARRANGEMENT]</w:t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Layout (Recommended)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Setback to curb (m) / Arm length (m) / Tilt angle (deg)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[SETBACK_M] / [ARM_M] / [TILT_DEG]</w:t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Targets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Eavg (lux) / U0 / Emin (lux) (if required)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[EAVG_LUX] / [U0] / [EMIN_LUX]</w:t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Solar Operation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Autonomy nights / Dimming profile / Motion sensor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[AUTONOMY_NIGHTS] / [DIMMING_PROFILE] / [SENSOR_YN]</w:t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Environment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Coastal/dusty/humid/normal | Typical/Max temperature (C)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[ENVIRONMENT] | [TTYP] / [TMAX]</w:t>
            </w:r>
          </w:p>
        </w:tc>
      </w:tr>
    </w:tbl>
    <w:p>
      <w:pPr>
        <w:pStyle w:val="Small"/>
      </w:pPr>
      <w:r>
        <w:t>Attachments (recommended): site layout DWG/PDF, Google Maps pin/coordinates, and site photos.</w:t>
      </w:r>
    </w:p>
    <w:p>
      <w:pPr>
        <w:pStyle w:val="Heading1"/>
      </w:pPr>
      <w:r>
        <w:t>4. Lighting Design Approach and Standards</w:t>
      </w:r>
    </w:p>
    <w:p>
      <w:pPr>
        <w:pStyle w:val="Heading2"/>
      </w:pPr>
      <w:r>
        <w:t>4.1 Photometric Data and File Formats</w:t>
      </w:r>
    </w:p>
    <w:p>
      <w:pPr/>
      <w:r>
        <w:t>Photometric files define how light leaves the luminaire. Road illuminance and uniformity depend on optics plus geometry (height/spacing/aiming) and the selected lighting criteria.</w:t>
      </w:r>
    </w:p>
    <w:p>
      <w:pPr>
        <w:pStyle w:val="ListBullet"/>
        <w:spacing w:after="40"/>
      </w:pPr>
      <w:r>
        <w:t>IES file (LM-63) provided for the selected optic; LDT available on request.</w:t>
      </w:r>
    </w:p>
    <w:p>
      <w:pPr>
        <w:pStyle w:val="ListBullet"/>
        <w:spacing w:after="40"/>
      </w:pPr>
      <w:r>
        <w:t>Simulation software: DIALux evo / Relux (as agreed).</w:t>
      </w:r>
    </w:p>
    <w:p>
      <w:pPr>
        <w:pStyle w:val="ListBullet"/>
        <w:spacing w:after="40"/>
      </w:pPr>
      <w:r>
        <w:t>Luminaire verification: LM-79 photometric report available on request.</w:t>
      </w:r>
    </w:p>
    <w:p>
      <w:pPr>
        <w:pStyle w:val="Heading2"/>
      </w:pPr>
      <w:r>
        <w:t>4.2 Standards and Acceptance Targets</w:t>
      </w:r>
    </w:p>
    <w:p>
      <w:pPr>
        <w:pStyle w:val="ListBullet"/>
        <w:spacing w:after="40"/>
      </w:pPr>
      <w:r>
        <w:t>Reference standard: [TARGET_STANDARD] (e.g., EN 13201 / IES RP-8 / Client Spec).</w:t>
      </w:r>
    </w:p>
    <w:p>
      <w:pPr>
        <w:pStyle w:val="ListBullet"/>
        <w:spacing w:after="40"/>
      </w:pPr>
      <w:r>
        <w:t>Targets: Eavg [EAVG_LUX] lux, Uniformity U0 [U0], and any additional requirements (glare/illuminance class).</w:t>
      </w:r>
    </w:p>
    <w:p>
      <w:pPr>
        <w:pStyle w:val="ListBullet"/>
        <w:spacing w:after="40"/>
      </w:pPr>
      <w:r>
        <w:t>Maintenance Factor (MF): [MF] (final MF to follow environment and O&amp;M plan).</w:t>
      </w:r>
    </w:p>
    <w:p>
      <w:pPr>
        <w:pStyle w:val="Heading2"/>
      </w:pPr>
      <w:r>
        <w:t>4.3 Simulation Deliverables (to attach)</w:t>
      </w:r>
    </w:p>
    <w:p>
      <w:pPr>
        <w:pStyle w:val="ListBullet"/>
        <w:spacing w:after="40"/>
      </w:pPr>
      <w:r>
        <w:t>Lighting Simulation Report (PDF): isolux map + calculation summary table (Eavg, U0, Emin).</w:t>
      </w:r>
    </w:p>
    <w:p>
      <w:pPr>
        <w:pStyle w:val="ListBullet"/>
        <w:spacing w:after="40"/>
      </w:pPr>
      <w:r>
        <w:t>Layout notes: recommended spacing/height/arm adjustments to eliminate dark zones between poles.</w:t>
      </w:r>
    </w:p>
    <w:p>
      <w:pPr>
        <w:pStyle w:val="ListBullet"/>
        <w:spacing w:after="40"/>
      </w:pPr>
      <w:r>
        <w:t>Option A/B (optional): cost-optimized vs rainy-season optimized design.</w:t>
      </w:r>
    </w:p>
    <w:p>
      <w:pPr>
        <w:pStyle w:val="Heading1"/>
      </w:pPr>
      <w:r>
        <w:t>5. Technical Specifications</w:t>
      </w:r>
    </w:p>
    <w:p>
      <w:pPr>
        <w:pStyle w:val="Heading2"/>
      </w:pPr>
      <w:r>
        <w:t>5.1 System Overview</w:t>
      </w:r>
    </w:p>
    <w:p>
      <w:pPr/>
      <w:r>
        <w:t>All specifications below are project-dependent and should be finalized after simulation and site confirmation.</w:t>
      </w:r>
    </w:p>
    <w:tbl>
      <w:tblPr>
        <w:tblStyle w:val="TableGrid"/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3213"/>
        <w:gridCol w:w="3213"/>
        <w:gridCol w:w="3213"/>
      </w:tblGrid>
      <w:tr>
        <w:tc>
          <w:tcPr>
            <w:tcW w:type="dxa" w:w="3213"/>
            <w:shd w:val="clear" w:color="auto" w:fill="0B2E59"/>
            <w:vAlign w:val="center"/>
          </w:tcPr>
          <w:p>
            <w:pPr>
              <w:spacing w:before="0" w:after="0"/>
              <w:jc w:val="center"/>
            </w:pPr>
            <w:r/>
            <w:r>
              <w:rPr>
                <w:rFonts w:ascii="Calibri" w:hAnsi="Calibri"/>
                <w:b/>
                <w:color w:val="FFFFFF"/>
                <w:sz w:val="20"/>
              </w:rPr>
              <w:t>Component</w:t>
            </w:r>
          </w:p>
        </w:tc>
        <w:tc>
          <w:tcPr>
            <w:tcW w:type="dxa" w:w="3213"/>
            <w:shd w:val="clear" w:color="auto" w:fill="0B2E59"/>
            <w:vAlign w:val="center"/>
          </w:tcPr>
          <w:p>
            <w:pPr>
              <w:spacing w:before="0" w:after="0"/>
              <w:jc w:val="center"/>
            </w:pPr>
            <w:r/>
            <w:r>
              <w:rPr>
                <w:rFonts w:ascii="Calibri" w:hAnsi="Calibri"/>
                <w:b/>
                <w:color w:val="FFFFFF"/>
                <w:sz w:val="20"/>
              </w:rPr>
              <w:t>Specification (fill in)</w:t>
            </w:r>
          </w:p>
        </w:tc>
        <w:tc>
          <w:tcPr>
            <w:tcW w:type="dxa" w:w="3213"/>
            <w:shd w:val="clear" w:color="auto" w:fill="0B2E59"/>
            <w:vAlign w:val="center"/>
          </w:tcPr>
          <w:p>
            <w:pPr>
              <w:spacing w:before="0" w:after="0"/>
              <w:jc w:val="center"/>
            </w:pPr>
            <w:r/>
            <w:r>
              <w:rPr>
                <w:rFonts w:ascii="Calibri" w:hAnsi="Calibri"/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Solar panel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[PANEL_W] W | [PANEL_TYPE] | Bracket: [BRACKET_TYPE]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Sized by location and autonomy target</w:t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Battery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LiFePO4 | [BATTERY_V] V | [BATTERY_WH] Wh | [CYCLES] cycles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Capacity based on autonomy nights and dimming profile</w:t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Controller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MPPT | Protections: OVP/UVP/OTP | Dimming: [DIMMING_MODE]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Remote control optional: 4G/5G/NB-IoT (if required)</w:t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LED luminaire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[LED_W] W | Optic: [OPTIC_TYPE] | Efficacy: [SYSTEM_LM_W] lm/W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Optics drive uniformity between poles</w:t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CCT / CRI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[CCT] K | CRI [CRI]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Specify binning if required (e.g., 3-step MacAdam)</w:t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Ingress protection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IP[IP] | IK[IK]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Outdoor reliability</w:t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Surge protection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SPD: [SPD_KV] kV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Recommended in lightning regions</w:t>
            </w:r>
          </w:p>
        </w:tc>
      </w:tr>
    </w:tbl>
    <w:p>
      <w:pPr>
        <w:pStyle w:val="Heading2"/>
      </w:pPr>
      <w:r>
        <w:t>5.2 Pole and Foundation (if included)</w:t>
      </w:r>
    </w:p>
    <w:tbl>
      <w:tblPr>
        <w:tblStyle w:val="TableGrid"/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3213"/>
        <w:gridCol w:w="3213"/>
        <w:gridCol w:w="3213"/>
      </w:tblGrid>
      <w:tr>
        <w:tc>
          <w:tcPr>
            <w:tcW w:type="dxa" w:w="3213"/>
            <w:shd w:val="clear" w:color="auto" w:fill="0B2E59"/>
            <w:vAlign w:val="center"/>
          </w:tcPr>
          <w:p>
            <w:pPr>
              <w:spacing w:before="0" w:after="0"/>
              <w:jc w:val="center"/>
            </w:pPr>
            <w:r/>
            <w:r>
              <w:rPr>
                <w:rFonts w:ascii="Calibri" w:hAnsi="Calibri"/>
                <w:b/>
                <w:color w:val="FFFFFF"/>
                <w:sz w:val="20"/>
              </w:rPr>
              <w:t>Item</w:t>
            </w:r>
          </w:p>
        </w:tc>
        <w:tc>
          <w:tcPr>
            <w:tcW w:type="dxa" w:w="3213"/>
            <w:shd w:val="clear" w:color="auto" w:fill="0B2E59"/>
            <w:vAlign w:val="center"/>
          </w:tcPr>
          <w:p>
            <w:pPr>
              <w:spacing w:before="0" w:after="0"/>
              <w:jc w:val="center"/>
            </w:pPr>
            <w:r/>
            <w:r>
              <w:rPr>
                <w:rFonts w:ascii="Calibri" w:hAnsi="Calibri"/>
                <w:b/>
                <w:color w:val="FFFFFF"/>
                <w:sz w:val="20"/>
              </w:rPr>
              <w:t>Value (fill in)</w:t>
            </w:r>
          </w:p>
        </w:tc>
        <w:tc>
          <w:tcPr>
            <w:tcW w:type="dxa" w:w="3213"/>
            <w:shd w:val="clear" w:color="auto" w:fill="0B2E59"/>
            <w:vAlign w:val="center"/>
          </w:tcPr>
          <w:p>
            <w:pPr>
              <w:spacing w:before="0" w:after="0"/>
              <w:jc w:val="center"/>
            </w:pPr>
            <w:r/>
            <w:r>
              <w:rPr>
                <w:rFonts w:ascii="Calibri" w:hAnsi="Calibri"/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Pole height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[POLE_HEIGHT_M] m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Match simulation layout</w:t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Material &amp; finish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Hot-dip galvanized steel | coating: [COATING]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Specify corrosion class for coastal sites</w:t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Base plate / bolt circle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[BOLT_CIRCLE_MM] mm | holes: [HOLES]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Provide drawing and template</w:t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Anchor bolts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M[ANCHOR_M] x [ANCHOR_LEN] mm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Request casting template before pouring concrete</w:t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Bolt projection length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[BOLT_PROJ_MM] mm above foundation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Critical for nut engagement and leveling range</w:t>
            </w:r>
          </w:p>
        </w:tc>
      </w:tr>
    </w:tbl>
    <w:p/>
    <w:p>
      <w:pPr>
        <w:pStyle w:val="Heading1"/>
      </w:pPr>
      <w:r>
        <w:t>6. Bill of Quantities (BOQ) and Budget</w:t>
      </w:r>
    </w:p>
    <w:p>
      <w:pPr>
        <w:pStyle w:val="Heading2"/>
      </w:pPr>
      <w:r>
        <w:t>6.1 BOQ Table</w:t>
      </w:r>
    </w:p>
    <w:tbl>
      <w:tblPr>
        <w:tblStyle w:val="TableGrid"/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2409"/>
        <w:gridCol w:w="2409"/>
        <w:gridCol w:w="2409"/>
        <w:gridCol w:w="2409"/>
      </w:tblGrid>
      <w:tr>
        <w:tc>
          <w:tcPr>
            <w:tcW w:type="dxa" w:w="2409"/>
            <w:shd w:val="clear" w:color="auto" w:fill="0B2E59"/>
            <w:vAlign w:val="center"/>
          </w:tcPr>
          <w:p>
            <w:pPr>
              <w:spacing w:before="0" w:after="0"/>
              <w:jc w:val="center"/>
            </w:pPr>
            <w:r/>
            <w:r>
              <w:rPr>
                <w:rFonts w:ascii="Calibri" w:hAnsi="Calibri"/>
                <w:b/>
                <w:color w:val="FFFFFF"/>
                <w:sz w:val="20"/>
              </w:rPr>
              <w:t>Item</w:t>
            </w:r>
          </w:p>
        </w:tc>
        <w:tc>
          <w:tcPr>
            <w:tcW w:type="dxa" w:w="2409"/>
            <w:shd w:val="clear" w:color="auto" w:fill="0B2E59"/>
            <w:vAlign w:val="center"/>
          </w:tcPr>
          <w:p>
            <w:pPr>
              <w:spacing w:before="0" w:after="0"/>
              <w:jc w:val="center"/>
            </w:pPr>
            <w:r/>
            <w:r>
              <w:rPr>
                <w:rFonts w:ascii="Calibri" w:hAnsi="Calibri"/>
                <w:b/>
                <w:color w:val="FFFFFF"/>
                <w:sz w:val="20"/>
              </w:rPr>
              <w:t>Unit</w:t>
            </w:r>
          </w:p>
        </w:tc>
        <w:tc>
          <w:tcPr>
            <w:tcW w:type="dxa" w:w="2409"/>
            <w:shd w:val="clear" w:color="auto" w:fill="0B2E59"/>
            <w:vAlign w:val="center"/>
          </w:tcPr>
          <w:p>
            <w:pPr>
              <w:spacing w:before="0" w:after="0"/>
              <w:jc w:val="center"/>
            </w:pPr>
            <w:r/>
            <w:r>
              <w:rPr>
                <w:rFonts w:ascii="Calibri" w:hAnsi="Calibri"/>
                <w:b/>
                <w:color w:val="FFFFFF"/>
                <w:sz w:val="20"/>
              </w:rPr>
              <w:t>Qty</w:t>
            </w:r>
          </w:p>
        </w:tc>
        <w:tc>
          <w:tcPr>
            <w:tcW w:type="dxa" w:w="2409"/>
            <w:shd w:val="clear" w:color="auto" w:fill="0B2E59"/>
            <w:vAlign w:val="center"/>
          </w:tcPr>
          <w:p>
            <w:pPr>
              <w:spacing w:before="0" w:after="0"/>
              <w:jc w:val="center"/>
            </w:pPr>
            <w:r/>
            <w:r>
              <w:rPr>
                <w:rFonts w:ascii="Calibri" w:hAnsi="Calibri"/>
                <w:b/>
                <w:color w:val="FFFFFF"/>
                <w:sz w:val="20"/>
              </w:rPr>
              <w:t>Notes</w:t>
            </w:r>
          </w:p>
        </w:tc>
      </w:tr>
      <w:tr>
        <w:tc>
          <w:tcPr>
            <w:tcW w:type="dxa" w:w="240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Solar street light set (complete)</w:t>
            </w:r>
          </w:p>
        </w:tc>
        <w:tc>
          <w:tcPr>
            <w:tcW w:type="dxa" w:w="240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set</w:t>
            </w:r>
          </w:p>
        </w:tc>
        <w:tc>
          <w:tcPr>
            <w:tcW w:type="dxa" w:w="240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[QTY]</w:t>
            </w:r>
          </w:p>
        </w:tc>
        <w:tc>
          <w:tcPr>
            <w:tcW w:type="dxa" w:w="240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Panel + LiFePO4 battery + controller + luminaire</w:t>
            </w:r>
          </w:p>
        </w:tc>
      </w:tr>
      <w:tr>
        <w:tc>
          <w:tcPr>
            <w:tcW w:type="dxa" w:w="240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Pole + arm (if included)</w:t>
            </w:r>
          </w:p>
        </w:tc>
        <w:tc>
          <w:tcPr>
            <w:tcW w:type="dxa" w:w="240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set</w:t>
            </w:r>
          </w:p>
        </w:tc>
        <w:tc>
          <w:tcPr>
            <w:tcW w:type="dxa" w:w="240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[QTY]</w:t>
            </w:r>
          </w:p>
        </w:tc>
        <w:tc>
          <w:tcPr>
            <w:tcW w:type="dxa" w:w="240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[POLE_HEIGHT_M] m</w:t>
            </w:r>
          </w:p>
        </w:tc>
      </w:tr>
      <w:tr>
        <w:tc>
          <w:tcPr>
            <w:tcW w:type="dxa" w:w="240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Anchor bolt kit (if included)</w:t>
            </w:r>
          </w:p>
        </w:tc>
        <w:tc>
          <w:tcPr>
            <w:tcW w:type="dxa" w:w="240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set</w:t>
            </w:r>
          </w:p>
        </w:tc>
        <w:tc>
          <w:tcPr>
            <w:tcW w:type="dxa" w:w="240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[QTY]</w:t>
            </w:r>
          </w:p>
        </w:tc>
        <w:tc>
          <w:tcPr>
            <w:tcW w:type="dxa" w:w="240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With template + projection length</w:t>
            </w:r>
          </w:p>
        </w:tc>
      </w:tr>
      <w:tr>
        <w:tc>
          <w:tcPr>
            <w:tcW w:type="dxa" w:w="240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Installation &amp; commissioning</w:t>
            </w:r>
          </w:p>
        </w:tc>
        <w:tc>
          <w:tcPr>
            <w:tcW w:type="dxa" w:w="240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job</w:t>
            </w:r>
          </w:p>
        </w:tc>
        <w:tc>
          <w:tcPr>
            <w:tcW w:type="dxa" w:w="240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1</w:t>
            </w:r>
          </w:p>
        </w:tc>
        <w:tc>
          <w:tcPr>
            <w:tcW w:type="dxa" w:w="240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As per scope</w:t>
            </w:r>
          </w:p>
        </w:tc>
      </w:tr>
      <w:tr>
        <w:tc>
          <w:tcPr>
            <w:tcW w:type="dxa" w:w="240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Spares kit (recommended)</w:t>
            </w:r>
          </w:p>
        </w:tc>
        <w:tc>
          <w:tcPr>
            <w:tcW w:type="dxa" w:w="240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lot</w:t>
            </w:r>
          </w:p>
        </w:tc>
        <w:tc>
          <w:tcPr>
            <w:tcW w:type="dxa" w:w="240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1</w:t>
            </w:r>
          </w:p>
        </w:tc>
        <w:tc>
          <w:tcPr>
            <w:tcW w:type="dxa" w:w="2409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2-3% critical parts</w:t>
            </w:r>
          </w:p>
        </w:tc>
      </w:tr>
    </w:tbl>
    <w:p>
      <w:pPr>
        <w:pStyle w:val="Heading2"/>
      </w:pPr>
      <w:r>
        <w:t>6.2 Budget Assumptions</w:t>
      </w:r>
    </w:p>
    <w:p>
      <w:pPr>
        <w:pStyle w:val="ListBullet"/>
        <w:spacing w:after="40"/>
      </w:pPr>
      <w:r>
        <w:t>Pricing depends on autonomy nights, dimming profile, optics selection, pole/foundation scope, and delivery terms.</w:t>
      </w:r>
    </w:p>
    <w:p>
      <w:pPr>
        <w:pStyle w:val="ListBullet"/>
        <w:spacing w:after="40"/>
      </w:pPr>
      <w:r>
        <w:t>State what is included/excluded for civil works, taxes, and local permits.</w:t>
      </w:r>
    </w:p>
    <w:p>
      <w:pPr>
        <w:pStyle w:val="ListBullet"/>
        <w:spacing w:after="40"/>
      </w:pPr>
      <w:r>
        <w:t>Provide Good/Better/Best options if requested.</w:t>
      </w:r>
    </w:p>
    <w:p>
      <w:pPr>
        <w:pStyle w:val="Heading1"/>
      </w:pPr>
      <w:r>
        <w:t>7. Packaging and Logistics</w:t>
      </w:r>
    </w:p>
    <w:p>
      <w:pPr>
        <w:pStyle w:val="ListBullet"/>
        <w:spacing w:after="40"/>
      </w:pPr>
      <w:r>
        <w:t>Delivery term: [DELIVERY_TERM] | Destination port: [PORT]</w:t>
      </w:r>
    </w:p>
    <w:p>
      <w:pPr>
        <w:pStyle w:val="ListBullet"/>
        <w:spacing w:after="40"/>
      </w:pPr>
      <w:r>
        <w:t>Packing list and shipping marks provided with each shipment.</w:t>
      </w:r>
    </w:p>
    <w:p>
      <w:pPr>
        <w:pStyle w:val="ListBullet"/>
        <w:spacing w:after="40"/>
      </w:pPr>
      <w:r>
        <w:t>Documents: Commercial invoice, packing list, bill of lading/airway bill, certificate of origin (if required).</w:t>
      </w:r>
    </w:p>
    <w:p>
      <w:pPr>
        <w:pStyle w:val="Heading1"/>
      </w:pPr>
      <w:r>
        <w:t>8. Installation Method Statement</w:t>
      </w:r>
    </w:p>
    <w:p>
      <w:pPr>
        <w:pStyle w:val="Heading2"/>
      </w:pPr>
      <w:r>
        <w:t>8.1 Pre-installation Checks</w:t>
      </w:r>
    </w:p>
    <w:p>
      <w:pPr>
        <w:pStyle w:val="ListBullet"/>
        <w:spacing w:after="40"/>
      </w:pPr>
      <w:r>
        <w:t>Verify anchor bolt template and bolt projection length before concrete pour.</w:t>
      </w:r>
    </w:p>
    <w:p>
      <w:pPr>
        <w:pStyle w:val="ListBullet"/>
        <w:spacing w:after="40"/>
      </w:pPr>
      <w:r>
        <w:t>Inspect all components on arrival (panel, luminaire, battery, controller, pole).</w:t>
      </w:r>
    </w:p>
    <w:p>
      <w:pPr>
        <w:pStyle w:val="ListBullet"/>
        <w:spacing w:after="40"/>
      </w:pPr>
      <w:r>
        <w:t>Confirm layout matches the approved simulation (height, spacing, arrangement, tilt).</w:t>
      </w:r>
    </w:p>
    <w:p>
      <w:pPr>
        <w:pStyle w:val="Heading2"/>
      </w:pPr>
      <w:r>
        <w:t>8.2 Installation Steps (Typical)</w:t>
      </w:r>
    </w:p>
    <w:p>
      <w:pPr>
        <w:pStyle w:val="ListBullet"/>
        <w:spacing w:after="40"/>
      </w:pPr>
      <w:r>
        <w:t>Foundation and anchor bolt installation (per approved drawing).</w:t>
      </w:r>
    </w:p>
    <w:p>
      <w:pPr>
        <w:pStyle w:val="ListBullet"/>
        <w:spacing w:after="40"/>
      </w:pPr>
      <w:r>
        <w:t>Pole erection and leveling; torque tightening to specified value.</w:t>
      </w:r>
    </w:p>
    <w:p>
      <w:pPr>
        <w:pStyle w:val="ListBullet"/>
        <w:spacing w:after="40"/>
      </w:pPr>
      <w:r>
        <w:t>Mount luminaire, arm, panel bracket; set tilt angle to [TILT_DEG] degrees (or approved).</w:t>
      </w:r>
    </w:p>
    <w:p>
      <w:pPr>
        <w:pStyle w:val="ListBullet"/>
        <w:spacing w:after="40"/>
      </w:pPr>
      <w:r>
        <w:t>Cable routing and waterproof connection; verify polarity and grounding.</w:t>
      </w:r>
    </w:p>
    <w:p>
      <w:pPr>
        <w:pStyle w:val="ListBullet"/>
        <w:spacing w:after="40"/>
      </w:pPr>
      <w:r>
        <w:t>Controller configuration: dimming profile [DIMMING_PROFILE] and sensor settings (if any).</w:t>
      </w:r>
    </w:p>
    <w:p>
      <w:pPr>
        <w:pStyle w:val="Heading2"/>
      </w:pPr>
      <w:r>
        <w:t>8.3 Commissioning</w:t>
      </w:r>
    </w:p>
    <w:p>
      <w:pPr>
        <w:pStyle w:val="ListBullet"/>
        <w:spacing w:after="40"/>
      </w:pPr>
      <w:r>
        <w:t>Daytime check: charging status and PV input.</w:t>
      </w:r>
    </w:p>
    <w:p>
      <w:pPr>
        <w:pStyle w:val="ListBullet"/>
        <w:spacing w:after="40"/>
      </w:pPr>
      <w:r>
        <w:t>Night check: light output, dimming schedule, and sensor function (if applicable).</w:t>
      </w:r>
    </w:p>
    <w:p>
      <w:pPr>
        <w:pStyle w:val="ListBullet"/>
        <w:spacing w:after="40"/>
      </w:pPr>
      <w:r>
        <w:t>Record settings and serial numbers for as-built documentation.</w:t>
      </w:r>
    </w:p>
    <w:p>
      <w:pPr>
        <w:pStyle w:val="Heading1"/>
      </w:pPr>
      <w:r>
        <w:t>9. QA/QC Plan</w:t>
      </w:r>
    </w:p>
    <w:p>
      <w:pPr>
        <w:pStyle w:val="Heading2"/>
      </w:pPr>
      <w:r>
        <w:t>9.1 Factory Acceptance (FAT) - Examples</w:t>
      </w:r>
    </w:p>
    <w:p>
      <w:pPr>
        <w:pStyle w:val="ListBullet"/>
        <w:spacing w:after="40"/>
      </w:pPr>
      <w:r>
        <w:t>Incoming inspection for key components (cells, controller, LED modules).</w:t>
      </w:r>
    </w:p>
    <w:p>
      <w:pPr>
        <w:pStyle w:val="ListBullet"/>
        <w:spacing w:after="40"/>
      </w:pPr>
      <w:r>
        <w:t>Functional test and burn-in.</w:t>
      </w:r>
    </w:p>
    <w:p>
      <w:pPr>
        <w:pStyle w:val="ListBullet"/>
        <w:spacing w:after="40"/>
      </w:pPr>
      <w:r>
        <w:t>Waterproof sealing inspection.</w:t>
      </w:r>
    </w:p>
    <w:p>
      <w:pPr>
        <w:pStyle w:val="ListBullet"/>
        <w:spacing w:after="40"/>
      </w:pPr>
      <w:r>
        <w:t>CCT consistency check (avoid mixed appearance on the road).</w:t>
      </w:r>
    </w:p>
    <w:p>
      <w:pPr>
        <w:pStyle w:val="ListBullet"/>
        <w:spacing w:after="40"/>
      </w:pPr>
      <w:r>
        <w:t>Packaging inspection and serial tracking.</w:t>
      </w:r>
    </w:p>
    <w:p>
      <w:pPr>
        <w:pStyle w:val="Heading2"/>
      </w:pPr>
      <w:r>
        <w:t>9.2 Site Acceptance (SAT) - Examples</w:t>
      </w:r>
    </w:p>
    <w:p>
      <w:pPr>
        <w:pStyle w:val="ListBullet"/>
        <w:spacing w:after="40"/>
      </w:pPr>
      <w:r>
        <w:t>Mechanical inspection: mounting, torque, cable routing, sealing.</w:t>
      </w:r>
    </w:p>
    <w:p>
      <w:pPr>
        <w:pStyle w:val="ListBullet"/>
        <w:spacing w:after="40"/>
      </w:pPr>
      <w:r>
        <w:t>Configuration verification: dimming schedule and sensor settings.</w:t>
      </w:r>
    </w:p>
    <w:p>
      <w:pPr>
        <w:pStyle w:val="ListBullet"/>
        <w:spacing w:after="40"/>
      </w:pPr>
      <w:r>
        <w:t>Night operation verification.</w:t>
      </w:r>
    </w:p>
    <w:p>
      <w:pPr>
        <w:pStyle w:val="ListBullet"/>
        <w:spacing w:after="40"/>
      </w:pPr>
      <w:r>
        <w:t>Lux sampling at agreed points (if required by consultant).</w:t>
      </w:r>
    </w:p>
    <w:p>
      <w:pPr>
        <w:pStyle w:val="Heading1"/>
      </w:pPr>
      <w:r>
        <w:t>10. Acceptance and Handover Checklist</w:t>
      </w:r>
    </w:p>
    <w:p>
      <w:pPr/>
      <w:r>
        <w:t>Use this checklist to ensure smooth handover and payment release.</w:t>
      </w:r>
    </w:p>
    <w:tbl>
      <w:tblPr>
        <w:tblStyle w:val="TableGrid"/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3213"/>
        <w:gridCol w:w="3213"/>
        <w:gridCol w:w="3213"/>
      </w:tblGrid>
      <w:tr>
        <w:tc>
          <w:tcPr>
            <w:tcW w:type="dxa" w:w="3213"/>
            <w:shd w:val="clear" w:color="auto" w:fill="0B2E59"/>
            <w:vAlign w:val="center"/>
          </w:tcPr>
          <w:p>
            <w:pPr>
              <w:spacing w:before="0" w:after="0"/>
              <w:jc w:val="center"/>
            </w:pPr>
            <w:r/>
            <w:r>
              <w:rPr>
                <w:rFonts w:ascii="Calibri" w:hAnsi="Calibri"/>
                <w:b/>
                <w:color w:val="FFFFFF"/>
                <w:sz w:val="20"/>
              </w:rPr>
              <w:t>Checkpoint</w:t>
            </w:r>
          </w:p>
        </w:tc>
        <w:tc>
          <w:tcPr>
            <w:tcW w:type="dxa" w:w="3213"/>
            <w:shd w:val="clear" w:color="auto" w:fill="0B2E59"/>
            <w:vAlign w:val="center"/>
          </w:tcPr>
          <w:p>
            <w:pPr>
              <w:spacing w:before="0" w:after="0"/>
              <w:jc w:val="center"/>
            </w:pPr>
            <w:r/>
            <w:r>
              <w:rPr>
                <w:rFonts w:ascii="Calibri" w:hAnsi="Calibri"/>
                <w:b/>
                <w:color w:val="FFFFFF"/>
                <w:sz w:val="20"/>
              </w:rPr>
              <w:t>Pass</w:t>
            </w:r>
          </w:p>
        </w:tc>
        <w:tc>
          <w:tcPr>
            <w:tcW w:type="dxa" w:w="3213"/>
            <w:shd w:val="clear" w:color="auto" w:fill="0B2E59"/>
            <w:vAlign w:val="center"/>
          </w:tcPr>
          <w:p>
            <w:pPr>
              <w:spacing w:before="0" w:after="0"/>
              <w:jc w:val="center"/>
            </w:pPr>
            <w:r/>
            <w:r>
              <w:rPr>
                <w:rFonts w:ascii="Calibri" w:hAnsi="Calibri"/>
                <w:b/>
                <w:color w:val="FFFFFF"/>
                <w:sz w:val="20"/>
              </w:rPr>
              <w:t>Notes / Record</w:t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Anchor bolts match base plate; bolt projection length verified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☐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Pole plumb and leveled; fasteners torqued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☐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Panel orientation and tilt set; no shading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☐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Waterproof connectors and cable routing completed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☐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Controller settings recorded (dimming profile, sensor)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☐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Night test passed (output + dimming schedule)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☐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CCT consistency acceptable (no zebra effect)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☐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As-built serial list completed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☐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</w:r>
          </w:p>
        </w:tc>
      </w:tr>
    </w:tbl>
    <w:p>
      <w:pPr>
        <w:pStyle w:val="Heading2"/>
      </w:pPr>
      <w:r>
        <w:t>10.2 Handover Documents</w:t>
      </w:r>
    </w:p>
    <w:p>
      <w:pPr>
        <w:pStyle w:val="ListBullet"/>
        <w:spacing w:after="40"/>
      </w:pPr>
      <w:r>
        <w:t>Final BOQ and packing list</w:t>
      </w:r>
    </w:p>
    <w:p>
      <w:pPr>
        <w:pStyle w:val="ListBullet"/>
        <w:spacing w:after="40"/>
      </w:pPr>
      <w:r>
        <w:t>Wiring diagram and installation manual</w:t>
      </w:r>
    </w:p>
    <w:p>
      <w:pPr>
        <w:pStyle w:val="ListBullet"/>
        <w:spacing w:after="40"/>
      </w:pPr>
      <w:r>
        <w:t>Warranty certificate</w:t>
      </w:r>
    </w:p>
    <w:p>
      <w:pPr>
        <w:pStyle w:val="ListBullet"/>
        <w:spacing w:after="40"/>
      </w:pPr>
      <w:r>
        <w:t>As-built: serial numbers and locations</w:t>
      </w:r>
    </w:p>
    <w:p>
      <w:pPr>
        <w:pStyle w:val="ListBullet"/>
        <w:spacing w:after="40"/>
      </w:pPr>
      <w:r>
        <w:t>Simulation report and IES files (appendix)</w:t>
      </w:r>
    </w:p>
    <w:p>
      <w:pPr>
        <w:pStyle w:val="Heading1"/>
      </w:pPr>
      <w:r>
        <w:t>11. Warranty and After-sales Support</w:t>
      </w:r>
    </w:p>
    <w:tbl>
      <w:tblPr>
        <w:tblStyle w:val="TableGrid"/>
        <w:tblW w:type="auto" w:w="0"/>
        <w:jc w:val="left"/>
        <w:tblLayout w:type="autofit"/>
        <w:tblLook w:firstColumn="1" w:firstRow="1" w:lastColumn="0" w:lastRow="0" w:noHBand="0" w:noVBand="1" w:val="04A0"/>
      </w:tblPr>
      <w:tblGrid>
        <w:gridCol w:w="3213"/>
        <w:gridCol w:w="3213"/>
        <w:gridCol w:w="3213"/>
      </w:tblGrid>
      <w:tr>
        <w:tc>
          <w:tcPr>
            <w:tcW w:type="dxa" w:w="3213"/>
            <w:shd w:val="clear" w:color="auto" w:fill="0B2E59"/>
            <w:vAlign w:val="center"/>
          </w:tcPr>
          <w:p>
            <w:pPr>
              <w:spacing w:before="0" w:after="0"/>
              <w:jc w:val="center"/>
            </w:pPr>
            <w:r/>
            <w:r>
              <w:rPr>
                <w:rFonts w:ascii="Calibri" w:hAnsi="Calibri"/>
                <w:b/>
                <w:color w:val="FFFFFF"/>
                <w:sz w:val="20"/>
              </w:rPr>
              <w:t>Item</w:t>
            </w:r>
          </w:p>
        </w:tc>
        <w:tc>
          <w:tcPr>
            <w:tcW w:type="dxa" w:w="3213"/>
            <w:shd w:val="clear" w:color="auto" w:fill="0B2E59"/>
            <w:vAlign w:val="center"/>
          </w:tcPr>
          <w:p>
            <w:pPr>
              <w:spacing w:before="0" w:after="0"/>
              <w:jc w:val="center"/>
            </w:pPr>
            <w:r/>
            <w:r>
              <w:rPr>
                <w:rFonts w:ascii="Calibri" w:hAnsi="Calibri"/>
                <w:b/>
                <w:color w:val="FFFFFF"/>
                <w:sz w:val="20"/>
              </w:rPr>
              <w:t>Warranty (fill in)</w:t>
            </w:r>
          </w:p>
        </w:tc>
        <w:tc>
          <w:tcPr>
            <w:tcW w:type="dxa" w:w="3213"/>
            <w:shd w:val="clear" w:color="auto" w:fill="0B2E59"/>
            <w:vAlign w:val="center"/>
          </w:tcPr>
          <w:p>
            <w:pPr>
              <w:spacing w:before="0" w:after="0"/>
              <w:jc w:val="center"/>
            </w:pPr>
            <w:r/>
            <w:r>
              <w:rPr>
                <w:rFonts w:ascii="Calibri" w:hAnsi="Calibri"/>
                <w:b/>
                <w:color w:val="FFFFFF"/>
                <w:sz w:val="20"/>
              </w:rPr>
              <w:t>Conditions / Notes</w:t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System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[WARRANTY_YEARS] years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As per warranty policy</w:t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Battery (LiFePO4)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[BATTERY_WARRANTY_YEARS] years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Based on operation profile and protections</w:t>
            </w:r>
          </w:p>
        </w:tc>
      </w:tr>
      <w:tr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LED luminaire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[LUM_WARRANTY_YEARS] years</w:t>
            </w:r>
          </w:p>
        </w:tc>
        <w:tc>
          <w:tcPr>
            <w:tcW w:type="dxa" w:w="3213"/>
            <w:vAlign w:val="top"/>
          </w:tcPr>
          <w:p>
            <w:pPr>
              <w:spacing w:before="0" w:after="0"/>
              <w:jc w:val="left"/>
            </w:pPr>
            <w:r/>
            <w:r>
              <w:rPr>
                <w:rFonts w:ascii="Calibri" w:hAnsi="Calibri"/>
                <w:b w:val="0"/>
                <w:color w:val="000000"/>
                <w:sz w:val="20"/>
              </w:rPr>
              <w:t>CCT binning and driver conditions as specified</w:t>
            </w:r>
          </w:p>
        </w:tc>
      </w:tr>
    </w:tbl>
    <w:p>
      <w:pPr/>
      <w:r>
        <w:t>Recommended spares: 2-3% critical parts for project continuity.</w:t>
      </w:r>
    </w:p>
    <w:p>
      <w:pPr>
        <w:pStyle w:val="Heading1"/>
      </w:pPr>
      <w:r>
        <w:t>12. Appendix (Attach as Needed)</w:t>
      </w:r>
    </w:p>
    <w:p>
      <w:pPr>
        <w:pStyle w:val="ListBullet"/>
        <w:spacing w:after="40"/>
      </w:pPr>
      <w:r>
        <w:t>Appendix A - Lighting Simulation Report (PDF)</w:t>
      </w:r>
    </w:p>
    <w:p>
      <w:pPr>
        <w:pStyle w:val="ListBullet"/>
        <w:spacing w:after="40"/>
      </w:pPr>
      <w:r>
        <w:t>Appendix B - IES (LM-63) files for selected optics (and LDT on request)</w:t>
      </w:r>
    </w:p>
    <w:p>
      <w:pPr>
        <w:pStyle w:val="ListBullet"/>
        <w:spacing w:after="40"/>
      </w:pPr>
      <w:r>
        <w:t>Appendix C - Datasheets and drawings (pole, base plate, anchor bolt template)</w:t>
      </w:r>
    </w:p>
    <w:p>
      <w:pPr>
        <w:pStyle w:val="ListBullet"/>
        <w:spacing w:after="40"/>
      </w:pPr>
      <w:r>
        <w:t>Appendix D - Certificates and test reports (LM-79 on request)</w:t>
      </w:r>
    </w:p>
    <w:p>
      <w:pPr>
        <w:pStyle w:val="ListBullet"/>
        <w:spacing w:after="40"/>
      </w:pPr>
      <w:r>
        <w:t>Appendix E - Packing list sample and shipping documents (as required)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1247" w:right="1134" w:bottom="1134" w:left="1134" w:header="567" w:footer="56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Small"/>
      <w:jc w:val="left"/>
    </w:pPr>
    <w:r>
      <w:rPr>
        <w:rFonts w:ascii="Calibri" w:hAnsi="Calibri"/>
        <w:color w:val="555555"/>
        <w:sz w:val="18"/>
      </w:rPr>
      <w:t>Document: SSLS-PROP-TPL-V1.0  |  Confidential - For Tender Use</w:t>
    </w:r>
  </w:p>
  <w:p>
    <w:pPr>
      <w:pStyle w:val="Small"/>
      <w:jc w:val="right"/>
    </w:pPr>
    <w:r>
      <w:fldChar w:fldCharType="begin"/>
      <w:instrText xml:space="preserve">PAGE</w:instrText>
      <w:fldChar w:fldCharType="separate"/>
      <w:t/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Small"/>
      <w:jc w:val="left"/>
    </w:pPr>
    <w:r>
      <w:rPr>
        <w:rFonts w:ascii="Calibri" w:hAnsi="Calibri"/>
        <w:b/>
        <w:color w:val="0B2E59"/>
        <w:sz w:val="18"/>
      </w:rPr>
      <w:t>SUNLURIO  |  sunlurio.com  |  info@sunlurio.com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240" w:after="120" w:line="276" w:lineRule="auto"/>
      <w:outlineLvl w:val="0"/>
    </w:pPr>
    <w:rPr>
      <w:rFonts w:asciiTheme="majorHAnsi" w:eastAsiaTheme="majorEastAsia" w:hAnsiTheme="majorHAnsi" w:cstheme="majorBidi" w:ascii="Calibri" w:hAnsi="Calibri"/>
      <w:b/>
      <w:bCs/>
      <w:color w:val="0B2E59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40" w:after="120" w:line="276" w:lineRule="auto"/>
      <w:outlineLvl w:val="1"/>
    </w:pPr>
    <w:rPr>
      <w:rFonts w:asciiTheme="majorHAnsi" w:eastAsiaTheme="majorEastAsia" w:hAnsiTheme="majorHAnsi" w:cstheme="majorBidi" w:ascii="Calibri" w:hAnsi="Calibri"/>
      <w:b/>
      <w:bCs/>
      <w:color w:val="0B2E59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40" w:after="120" w:line="276" w:lineRule="auto"/>
      <w:outlineLvl w:val="2"/>
    </w:pPr>
    <w:rPr>
      <w:rFonts w:asciiTheme="majorHAnsi" w:eastAsiaTheme="majorEastAsia" w:hAnsiTheme="majorHAnsi" w:cstheme="majorBidi" w:ascii="Calibri" w:hAnsi="Calibri"/>
      <w:b/>
      <w:bCs/>
      <w:color w:val="0B2E59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Small">
    <w:name w:val="Small"/>
    <w:basedOn w:val="Normal"/>
    <w:pPr>
      <w:spacing w:before="0" w:after="60" w:line="276" w:lineRule="auto"/>
    </w:pPr>
    <w:rPr>
      <w:rFonts w:ascii="Calibri" w:hAnsi="Calibri"/>
      <w:b w:val="0"/>
      <w:color w:val="555555"/>
      <w:sz w:val="18"/>
    </w:rPr>
  </w:style>
  <w:style w:type="paragraph" w:customStyle="1" w:styleId="Callout">
    <w:name w:val="Callout"/>
    <w:basedOn w:val="Normal"/>
    <w:pPr>
      <w:spacing w:before="120" w:after="120" w:line="288" w:lineRule="auto"/>
    </w:pPr>
    <w:rPr>
      <w:rFonts w:ascii="Calibri" w:hAnsi="Calibri"/>
      <w:b w:val="0"/>
      <w:sz w:val="22"/>
    </w:rPr>
  </w:style>
  <w:style w:type="paragraph" w:customStyle="1" w:styleId="TableHeader">
    <w:name w:val="Table Header"/>
    <w:basedOn w:val="Normal"/>
    <w:pPr>
      <w:spacing w:before="0" w:after="0" w:line="240" w:lineRule="auto"/>
    </w:pPr>
    <w:rPr>
      <w:rFonts w:ascii="Calibri" w:hAnsi="Calibri"/>
      <w:b/>
      <w:color w:val="FFFFFF"/>
      <w:sz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